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jc w:val="center"/>
        <w:tblLook w:val="04A0" w:firstRow="1" w:lastRow="0" w:firstColumn="1" w:lastColumn="0" w:noHBand="0" w:noVBand="1"/>
      </w:tblPr>
      <w:tblGrid>
        <w:gridCol w:w="5328"/>
        <w:gridCol w:w="5328"/>
      </w:tblGrid>
      <w:tr w:rsidR="00CA577A" w14:paraId="28A34713" w14:textId="77777777">
        <w:trPr>
          <w:jc w:val="center"/>
        </w:trPr>
        <w:tc>
          <w:tcPr>
            <w:tcW w:w="5328" w:type="dxa"/>
            <w:shd w:val="clear" w:color="auto" w:fill="124C81"/>
          </w:tcPr>
          <w:p w14:paraId="6960A226" w14:textId="77777777" w:rsidR="00CA577A" w:rsidRDefault="00000000">
            <w:r>
              <w:rPr>
                <w:b/>
                <w:color w:val="FFFFFF"/>
                <w:sz w:val="50"/>
              </w:rPr>
              <w:t>PRADHAN MANTRI JAN-DHAN YOJANA</w:t>
            </w:r>
            <w:r>
              <w:rPr>
                <w:b/>
                <w:color w:val="FFFFFF"/>
                <w:sz w:val="50"/>
              </w:rPr>
              <w:br/>
            </w:r>
            <w:r>
              <w:rPr>
                <w:color w:val="DCEEFC"/>
                <w:sz w:val="26"/>
              </w:rPr>
              <w:t>PMJDY • Customer Guide for Account Opening</w:t>
            </w:r>
          </w:p>
        </w:tc>
        <w:tc>
          <w:tcPr>
            <w:tcW w:w="5328" w:type="dxa"/>
            <w:shd w:val="clear" w:color="auto" w:fill="124C81"/>
          </w:tcPr>
          <w:p w14:paraId="3B3984AA" w14:textId="760C43CF" w:rsidR="00CA577A" w:rsidRDefault="00000000">
            <w:pPr>
              <w:jc w:val="center"/>
            </w:pPr>
            <w:r>
              <w:rPr>
                <w:b/>
                <w:color w:val="FFFFFF"/>
                <w:sz w:val="68"/>
              </w:rPr>
              <w:br/>
            </w:r>
          </w:p>
        </w:tc>
      </w:tr>
    </w:tbl>
    <w:p w14:paraId="1AEA6B29" w14:textId="77777777" w:rsidR="00CA577A" w:rsidRDefault="00CA577A"/>
    <w:p w14:paraId="527F89A5" w14:textId="4223A10E" w:rsidR="00CA577A" w:rsidRDefault="00334B38">
      <w:r>
        <w:rPr>
          <w:b/>
          <w:color w:val="124C81"/>
          <w:sz w:val="34"/>
        </w:rPr>
        <w:t xml:space="preserve">Scheme </w:t>
      </w:r>
      <w:r w:rsidR="00000000">
        <w:rPr>
          <w:b/>
          <w:color w:val="124C81"/>
          <w:sz w:val="34"/>
        </w:rPr>
        <w:t>At a Glance</w:t>
      </w:r>
    </w:p>
    <w:p w14:paraId="01D05ACF" w14:textId="77777777" w:rsidR="00CA577A" w:rsidRDefault="00000000" w:rsidP="002C3DD4">
      <w:pPr>
        <w:spacing w:after="160"/>
        <w:jc w:val="both"/>
      </w:pPr>
      <w:r>
        <w:t>PMJDY is a National Mission for Financial Inclusion. Under the scheme, a Basic Savings Bank Deposit (BSBD) account can be opened for an unbanked person at a bank branch or Business Correspondent (Bank Mitra) outlet. The account has no minimum balance requirement and can support DBT and access to other financial services, subject to eligibility.</w:t>
      </w:r>
    </w:p>
    <w:p w14:paraId="31385ED6" w14:textId="77777777" w:rsidR="00CA577A" w:rsidRDefault="00000000">
      <w:r>
        <w:rPr>
          <w:b/>
          <w:color w:val="124C81"/>
          <w:sz w:val="34"/>
        </w:rPr>
        <w:t>How to Open a PMJDY Account</w:t>
      </w:r>
    </w:p>
    <w:tbl>
      <w:tblPr>
        <w:tblW w:w="0" w:type="auto"/>
        <w:jc w:val="center"/>
        <w:tblLook w:val="04A0" w:firstRow="1" w:lastRow="0" w:firstColumn="1" w:lastColumn="0" w:noHBand="0" w:noVBand="1"/>
      </w:tblPr>
      <w:tblGrid>
        <w:gridCol w:w="2131"/>
        <w:gridCol w:w="2131"/>
        <w:gridCol w:w="2131"/>
        <w:gridCol w:w="2131"/>
        <w:gridCol w:w="2131"/>
      </w:tblGrid>
      <w:tr w:rsidR="00CA577A" w14:paraId="5F7A2FE4" w14:textId="77777777">
        <w:trPr>
          <w:jc w:val="center"/>
        </w:trPr>
        <w:tc>
          <w:tcPr>
            <w:tcW w:w="2131" w:type="dxa"/>
            <w:shd w:val="clear" w:color="auto" w:fill="F8FBFE"/>
          </w:tcPr>
          <w:p w14:paraId="5A9B14F4" w14:textId="77777777" w:rsidR="00CA577A" w:rsidRDefault="00000000">
            <w:pPr>
              <w:jc w:val="center"/>
            </w:pPr>
            <w:r>
              <w:rPr>
                <w:noProof/>
              </w:rPr>
              <w:drawing>
                <wp:inline distT="0" distB="0" distL="0" distR="0" wp14:anchorId="621EB739" wp14:editId="4F67F93F">
                  <wp:extent cx="566928" cy="5669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k.png"/>
                          <pic:cNvPicPr/>
                        </pic:nvPicPr>
                        <pic:blipFill>
                          <a:blip r:embed="rId8"/>
                          <a:stretch>
                            <a:fillRect/>
                          </a:stretch>
                        </pic:blipFill>
                        <pic:spPr>
                          <a:xfrm>
                            <a:off x="0" y="0"/>
                            <a:ext cx="566928" cy="566928"/>
                          </a:xfrm>
                          <a:prstGeom prst="rect">
                            <a:avLst/>
                          </a:prstGeom>
                        </pic:spPr>
                      </pic:pic>
                    </a:graphicData>
                  </a:graphic>
                </wp:inline>
              </w:drawing>
            </w:r>
          </w:p>
          <w:p w14:paraId="0A7FC3FD" w14:textId="77777777" w:rsidR="00CA577A" w:rsidRDefault="00000000">
            <w:pPr>
              <w:jc w:val="center"/>
            </w:pPr>
            <w:r>
              <w:rPr>
                <w:b/>
                <w:color w:val="124C81"/>
                <w:sz w:val="19"/>
              </w:rPr>
              <w:t>01  Visit</w:t>
            </w:r>
          </w:p>
          <w:p w14:paraId="628E713D" w14:textId="77777777" w:rsidR="00CA577A" w:rsidRDefault="00000000">
            <w:pPr>
              <w:jc w:val="center"/>
            </w:pPr>
            <w:r>
              <w:rPr>
                <w:sz w:val="15"/>
              </w:rPr>
              <w:t>Nearest Central Bank of India branch / authorised BC outlet</w:t>
            </w:r>
          </w:p>
        </w:tc>
        <w:tc>
          <w:tcPr>
            <w:tcW w:w="2131" w:type="dxa"/>
            <w:shd w:val="clear" w:color="auto" w:fill="F8FBFE"/>
          </w:tcPr>
          <w:p w14:paraId="0D9B1112" w14:textId="77777777" w:rsidR="00CA577A" w:rsidRDefault="00000000">
            <w:pPr>
              <w:jc w:val="center"/>
            </w:pPr>
            <w:r>
              <w:rPr>
                <w:noProof/>
              </w:rPr>
              <w:drawing>
                <wp:inline distT="0" distB="0" distL="0" distR="0" wp14:anchorId="62D1C32C" wp14:editId="24394E4C">
                  <wp:extent cx="566928" cy="56692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uments.png"/>
                          <pic:cNvPicPr/>
                        </pic:nvPicPr>
                        <pic:blipFill>
                          <a:blip r:embed="rId9"/>
                          <a:stretch>
                            <a:fillRect/>
                          </a:stretch>
                        </pic:blipFill>
                        <pic:spPr>
                          <a:xfrm>
                            <a:off x="0" y="0"/>
                            <a:ext cx="566928" cy="566928"/>
                          </a:xfrm>
                          <a:prstGeom prst="rect">
                            <a:avLst/>
                          </a:prstGeom>
                        </pic:spPr>
                      </pic:pic>
                    </a:graphicData>
                  </a:graphic>
                </wp:inline>
              </w:drawing>
            </w:r>
          </w:p>
          <w:p w14:paraId="10EAA633" w14:textId="77777777" w:rsidR="00CA577A" w:rsidRDefault="00000000">
            <w:pPr>
              <w:jc w:val="center"/>
            </w:pPr>
            <w:r>
              <w:rPr>
                <w:b/>
                <w:color w:val="124C81"/>
                <w:sz w:val="19"/>
              </w:rPr>
              <w:t>02  Apply</w:t>
            </w:r>
          </w:p>
          <w:p w14:paraId="14F6B105" w14:textId="77777777" w:rsidR="00CA577A" w:rsidRDefault="00000000">
            <w:pPr>
              <w:jc w:val="center"/>
            </w:pPr>
            <w:r>
              <w:rPr>
                <w:sz w:val="15"/>
              </w:rPr>
              <w:t>Complete the prescribed account-opening form</w:t>
            </w:r>
          </w:p>
        </w:tc>
        <w:tc>
          <w:tcPr>
            <w:tcW w:w="2131" w:type="dxa"/>
            <w:shd w:val="clear" w:color="auto" w:fill="F8FBFE"/>
          </w:tcPr>
          <w:p w14:paraId="56F1D306" w14:textId="77777777" w:rsidR="00CA577A" w:rsidRDefault="00000000">
            <w:pPr>
              <w:jc w:val="center"/>
            </w:pPr>
            <w:r>
              <w:rPr>
                <w:noProof/>
              </w:rPr>
              <w:drawing>
                <wp:inline distT="0" distB="0" distL="0" distR="0" wp14:anchorId="457D6EE2" wp14:editId="7813B38F">
                  <wp:extent cx="566928" cy="56692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son.png"/>
                          <pic:cNvPicPr/>
                        </pic:nvPicPr>
                        <pic:blipFill>
                          <a:blip r:embed="rId10"/>
                          <a:stretch>
                            <a:fillRect/>
                          </a:stretch>
                        </pic:blipFill>
                        <pic:spPr>
                          <a:xfrm>
                            <a:off x="0" y="0"/>
                            <a:ext cx="566928" cy="566928"/>
                          </a:xfrm>
                          <a:prstGeom prst="rect">
                            <a:avLst/>
                          </a:prstGeom>
                        </pic:spPr>
                      </pic:pic>
                    </a:graphicData>
                  </a:graphic>
                </wp:inline>
              </w:drawing>
            </w:r>
          </w:p>
          <w:p w14:paraId="16396E97" w14:textId="77777777" w:rsidR="00CA577A" w:rsidRDefault="00000000">
            <w:pPr>
              <w:jc w:val="center"/>
            </w:pPr>
            <w:r>
              <w:rPr>
                <w:b/>
                <w:color w:val="124C81"/>
                <w:sz w:val="19"/>
              </w:rPr>
              <w:t>03  KYC</w:t>
            </w:r>
          </w:p>
          <w:p w14:paraId="34544F6D" w14:textId="77777777" w:rsidR="00CA577A" w:rsidRDefault="00000000">
            <w:pPr>
              <w:jc w:val="center"/>
            </w:pPr>
            <w:r>
              <w:rPr>
                <w:sz w:val="15"/>
              </w:rPr>
              <w:t>Submit Aadhaar or other applicable KYC document(s)</w:t>
            </w:r>
          </w:p>
        </w:tc>
        <w:tc>
          <w:tcPr>
            <w:tcW w:w="2131" w:type="dxa"/>
            <w:shd w:val="clear" w:color="auto" w:fill="F8FBFE"/>
          </w:tcPr>
          <w:p w14:paraId="2177E7C2" w14:textId="77777777" w:rsidR="00CA577A" w:rsidRDefault="00000000">
            <w:pPr>
              <w:jc w:val="center"/>
            </w:pPr>
            <w:r>
              <w:rPr>
                <w:noProof/>
              </w:rPr>
              <w:drawing>
                <wp:inline distT="0" distB="0" distL="0" distR="0" wp14:anchorId="26DC5E86" wp14:editId="6F2311F8">
                  <wp:extent cx="566928" cy="56692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ield.png"/>
                          <pic:cNvPicPr/>
                        </pic:nvPicPr>
                        <pic:blipFill>
                          <a:blip r:embed="rId11"/>
                          <a:stretch>
                            <a:fillRect/>
                          </a:stretch>
                        </pic:blipFill>
                        <pic:spPr>
                          <a:xfrm>
                            <a:off x="0" y="0"/>
                            <a:ext cx="566928" cy="566928"/>
                          </a:xfrm>
                          <a:prstGeom prst="rect">
                            <a:avLst/>
                          </a:prstGeom>
                        </pic:spPr>
                      </pic:pic>
                    </a:graphicData>
                  </a:graphic>
                </wp:inline>
              </w:drawing>
            </w:r>
          </w:p>
          <w:p w14:paraId="1002CB2E" w14:textId="77777777" w:rsidR="00CA577A" w:rsidRDefault="00000000">
            <w:pPr>
              <w:jc w:val="center"/>
            </w:pPr>
            <w:r>
              <w:rPr>
                <w:b/>
                <w:color w:val="124C81"/>
                <w:sz w:val="19"/>
              </w:rPr>
              <w:t>04  Verify</w:t>
            </w:r>
          </w:p>
          <w:p w14:paraId="5639650C" w14:textId="77777777" w:rsidR="00CA577A" w:rsidRDefault="00000000">
            <w:pPr>
              <w:jc w:val="center"/>
            </w:pPr>
            <w:r>
              <w:rPr>
                <w:sz w:val="15"/>
              </w:rPr>
              <w:t>Complete customer due diligence / KYC verification</w:t>
            </w:r>
          </w:p>
        </w:tc>
        <w:tc>
          <w:tcPr>
            <w:tcW w:w="2131" w:type="dxa"/>
            <w:shd w:val="clear" w:color="auto" w:fill="F8FBFE"/>
          </w:tcPr>
          <w:p w14:paraId="72E6662E" w14:textId="77777777" w:rsidR="00CA577A" w:rsidRDefault="00000000">
            <w:pPr>
              <w:jc w:val="center"/>
            </w:pPr>
            <w:r>
              <w:rPr>
                <w:noProof/>
              </w:rPr>
              <w:drawing>
                <wp:inline distT="0" distB="0" distL="0" distR="0" wp14:anchorId="2F754863" wp14:editId="4166CA04">
                  <wp:extent cx="566928" cy="56692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pee.png"/>
                          <pic:cNvPicPr/>
                        </pic:nvPicPr>
                        <pic:blipFill>
                          <a:blip r:embed="rId12"/>
                          <a:stretch>
                            <a:fillRect/>
                          </a:stretch>
                        </pic:blipFill>
                        <pic:spPr>
                          <a:xfrm>
                            <a:off x="0" y="0"/>
                            <a:ext cx="566928" cy="566928"/>
                          </a:xfrm>
                          <a:prstGeom prst="rect">
                            <a:avLst/>
                          </a:prstGeom>
                        </pic:spPr>
                      </pic:pic>
                    </a:graphicData>
                  </a:graphic>
                </wp:inline>
              </w:drawing>
            </w:r>
          </w:p>
          <w:p w14:paraId="0BEAF756" w14:textId="77777777" w:rsidR="00CA577A" w:rsidRDefault="00000000">
            <w:pPr>
              <w:jc w:val="center"/>
            </w:pPr>
            <w:r>
              <w:rPr>
                <w:b/>
                <w:color w:val="124C81"/>
                <w:sz w:val="19"/>
              </w:rPr>
              <w:t>05  Activate</w:t>
            </w:r>
          </w:p>
          <w:p w14:paraId="501F6533" w14:textId="77777777" w:rsidR="00CA577A" w:rsidRDefault="00000000">
            <w:pPr>
              <w:jc w:val="center"/>
            </w:pPr>
            <w:r>
              <w:rPr>
                <w:sz w:val="15"/>
              </w:rPr>
              <w:t>Account is opened and activated after successful verification</w:t>
            </w:r>
          </w:p>
        </w:tc>
      </w:tr>
    </w:tbl>
    <w:p w14:paraId="6D8C19EA" w14:textId="77777777" w:rsidR="00CA577A" w:rsidRDefault="00000000">
      <w:r>
        <w:rPr>
          <w:b/>
          <w:color w:val="124C81"/>
          <w:sz w:val="34"/>
        </w:rPr>
        <w:t>Eligibility</w:t>
      </w:r>
    </w:p>
    <w:p w14:paraId="32CB08EA" w14:textId="77777777" w:rsidR="00CA577A" w:rsidRDefault="00000000" w:rsidP="002C3DD4">
      <w:pPr>
        <w:pStyle w:val="ListBullet"/>
      </w:pPr>
      <w:r>
        <w:t>PMJDY is intended for an unbanked person / person not having another account, subject to applicable KYC and account-opening requirements.</w:t>
      </w:r>
    </w:p>
    <w:p w14:paraId="3221C9DB" w14:textId="77777777" w:rsidR="00CA577A" w:rsidRDefault="00000000" w:rsidP="002C3DD4">
      <w:pPr>
        <w:pStyle w:val="ListBullet"/>
      </w:pPr>
      <w:r>
        <w:t>The account may be opened at a bank branch or authorised Business Correspondent (Bank Mitra) outlet.</w:t>
      </w:r>
    </w:p>
    <w:p w14:paraId="5549B006" w14:textId="77777777" w:rsidR="00CA577A" w:rsidRDefault="00000000" w:rsidP="002C3DD4">
      <w:pPr>
        <w:pStyle w:val="ListBullet"/>
      </w:pPr>
      <w:r>
        <w:t>A minor above 10 years may open a savings bank account, subject to the bank's applicable minor-account rules; overdraft eligibility is separate.</w:t>
      </w:r>
    </w:p>
    <w:p w14:paraId="06F2AB61" w14:textId="77777777" w:rsidR="00CA577A" w:rsidRDefault="00000000">
      <w:r>
        <w:rPr>
          <w:b/>
          <w:color w:val="124C81"/>
          <w:sz w:val="34"/>
        </w:rPr>
        <w:t>Documents Required</w:t>
      </w:r>
    </w:p>
    <w:tbl>
      <w:tblPr>
        <w:tblW w:w="0" w:type="auto"/>
        <w:jc w:val="center"/>
        <w:tblLook w:val="04A0" w:firstRow="1" w:lastRow="0" w:firstColumn="1" w:lastColumn="0" w:noHBand="0" w:noVBand="1"/>
      </w:tblPr>
      <w:tblGrid>
        <w:gridCol w:w="5328"/>
        <w:gridCol w:w="5328"/>
      </w:tblGrid>
      <w:tr w:rsidR="00CA577A" w14:paraId="5173DCE7" w14:textId="77777777">
        <w:trPr>
          <w:jc w:val="center"/>
        </w:trPr>
        <w:tc>
          <w:tcPr>
            <w:tcW w:w="5328" w:type="dxa"/>
            <w:shd w:val="clear" w:color="auto" w:fill="124C81"/>
          </w:tcPr>
          <w:p w14:paraId="2E01CC94" w14:textId="23648FD7" w:rsidR="00CA577A" w:rsidRDefault="00CA577A"/>
        </w:tc>
        <w:tc>
          <w:tcPr>
            <w:tcW w:w="5328" w:type="dxa"/>
            <w:shd w:val="clear" w:color="auto" w:fill="124C81"/>
          </w:tcPr>
          <w:p w14:paraId="16122721" w14:textId="77777777" w:rsidR="00CA577A" w:rsidRDefault="00000000">
            <w:r>
              <w:rPr>
                <w:b/>
                <w:color w:val="FFFFFF"/>
              </w:rPr>
              <w:t>Documents / KYC</w:t>
            </w:r>
          </w:p>
        </w:tc>
      </w:tr>
      <w:tr w:rsidR="00CA577A" w14:paraId="71DE4795" w14:textId="77777777">
        <w:trPr>
          <w:jc w:val="center"/>
        </w:trPr>
        <w:tc>
          <w:tcPr>
            <w:tcW w:w="5328" w:type="dxa"/>
            <w:tcBorders>
              <w:top w:val="single" w:sz="4" w:space="0" w:color="D7E2EA"/>
              <w:left w:val="single" w:sz="4" w:space="0" w:color="D7E2EA"/>
              <w:bottom w:val="single" w:sz="4" w:space="0" w:color="D7E2EA"/>
              <w:right w:val="single" w:sz="4" w:space="0" w:color="D7E2EA"/>
            </w:tcBorders>
            <w:shd w:val="clear" w:color="auto" w:fill="EEF5FA"/>
            <w:vAlign w:val="center"/>
          </w:tcPr>
          <w:p w14:paraId="64EE616F" w14:textId="77777777" w:rsidR="00CA577A" w:rsidRDefault="00000000">
            <w:r>
              <w:t>Aadhaar available</w:t>
            </w:r>
          </w:p>
        </w:tc>
        <w:tc>
          <w:tcPr>
            <w:tcW w:w="5328" w:type="dxa"/>
            <w:tcBorders>
              <w:top w:val="single" w:sz="4" w:space="0" w:color="D7E2EA"/>
              <w:left w:val="single" w:sz="4" w:space="0" w:color="D7E2EA"/>
              <w:bottom w:val="single" w:sz="4" w:space="0" w:color="D7E2EA"/>
              <w:right w:val="single" w:sz="4" w:space="0" w:color="D7E2EA"/>
            </w:tcBorders>
            <w:vAlign w:val="center"/>
          </w:tcPr>
          <w:p w14:paraId="281CBF29" w14:textId="77777777" w:rsidR="00CA577A" w:rsidRDefault="00000000" w:rsidP="002C3DD4">
            <w:pPr>
              <w:jc w:val="both"/>
            </w:pPr>
            <w:r>
              <w:t>Aadhaar number/card. No other document is required as per PMJDY guidance; if address has changed, self-certification of current address is sufficient.</w:t>
            </w:r>
          </w:p>
        </w:tc>
      </w:tr>
      <w:tr w:rsidR="00CA577A" w14:paraId="2ACD8D74" w14:textId="77777777">
        <w:trPr>
          <w:jc w:val="center"/>
        </w:trPr>
        <w:tc>
          <w:tcPr>
            <w:tcW w:w="5328" w:type="dxa"/>
            <w:tcBorders>
              <w:top w:val="single" w:sz="4" w:space="0" w:color="D7E2EA"/>
              <w:left w:val="single" w:sz="4" w:space="0" w:color="D7E2EA"/>
              <w:bottom w:val="single" w:sz="4" w:space="0" w:color="D7E2EA"/>
              <w:right w:val="single" w:sz="4" w:space="0" w:color="D7E2EA"/>
            </w:tcBorders>
            <w:shd w:val="clear" w:color="auto" w:fill="EEF5FA"/>
            <w:vAlign w:val="center"/>
          </w:tcPr>
          <w:p w14:paraId="776D081A" w14:textId="77777777" w:rsidR="00CA577A" w:rsidRDefault="00000000">
            <w:r>
              <w:t>Aadhaar not available</w:t>
            </w:r>
          </w:p>
        </w:tc>
        <w:tc>
          <w:tcPr>
            <w:tcW w:w="5328" w:type="dxa"/>
            <w:tcBorders>
              <w:top w:val="single" w:sz="4" w:space="0" w:color="D7E2EA"/>
              <w:left w:val="single" w:sz="4" w:space="0" w:color="D7E2EA"/>
              <w:bottom w:val="single" w:sz="4" w:space="0" w:color="D7E2EA"/>
              <w:right w:val="single" w:sz="4" w:space="0" w:color="D7E2EA"/>
            </w:tcBorders>
            <w:vAlign w:val="center"/>
          </w:tcPr>
          <w:p w14:paraId="2CDCB9B8" w14:textId="21E4C474" w:rsidR="00CA577A" w:rsidRDefault="00000000" w:rsidP="002C3DD4">
            <w:pPr>
              <w:jc w:val="both"/>
            </w:pPr>
            <w:r>
              <w:t xml:space="preserve">Any one OVD: Voter ID, Driving </w:t>
            </w:r>
            <w:r w:rsidR="002C3DD4">
              <w:t>license</w:t>
            </w:r>
            <w:r>
              <w:t>, PAN Card, Passport. Where the OVD contains the address, it can serve as identity and address proof.</w:t>
            </w:r>
          </w:p>
        </w:tc>
      </w:tr>
    </w:tbl>
    <w:p w14:paraId="45FF9217" w14:textId="77777777" w:rsidR="00CA577A" w:rsidRDefault="00000000">
      <w:r>
        <w:rPr>
          <w:b/>
          <w:color w:val="124C81"/>
          <w:sz w:val="34"/>
        </w:rPr>
        <w:lastRenderedPageBreak/>
        <w:t>Key Features &amp; Benefits</w:t>
      </w:r>
    </w:p>
    <w:p w14:paraId="78945704" w14:textId="77777777" w:rsidR="00CA577A" w:rsidRDefault="00000000" w:rsidP="002C3DD4">
      <w:pPr>
        <w:pStyle w:val="ListBullet"/>
        <w:jc w:val="both"/>
      </w:pPr>
      <w:r>
        <w:t>Zero minimum balance requirement.</w:t>
      </w:r>
    </w:p>
    <w:p w14:paraId="6DDB2C69" w14:textId="77777777" w:rsidR="00CA577A" w:rsidRDefault="00000000" w:rsidP="002C3DD4">
      <w:pPr>
        <w:pStyle w:val="ListBullet"/>
        <w:jc w:val="both"/>
      </w:pPr>
      <w:r>
        <w:t>Interest on deposits as applicable to savings accounts.</w:t>
      </w:r>
    </w:p>
    <w:p w14:paraId="0C43B102" w14:textId="77777777" w:rsidR="00CA577A" w:rsidRDefault="00000000" w:rsidP="002C3DD4">
      <w:pPr>
        <w:pStyle w:val="ListBullet"/>
        <w:jc w:val="both"/>
      </w:pPr>
      <w:r>
        <w:t>RuPay debit card; accident insurance cover of ₹2 lakh is available with RuPay cards issued to new PMJDY accounts opened after 28 August 2018, subject to applicable conditions.</w:t>
      </w:r>
    </w:p>
    <w:p w14:paraId="1BEA4CC1" w14:textId="77777777" w:rsidR="00CA577A" w:rsidRDefault="00000000" w:rsidP="002C3DD4">
      <w:pPr>
        <w:pStyle w:val="ListBullet"/>
        <w:jc w:val="both"/>
      </w:pPr>
      <w:r>
        <w:t>DBT-enabled account for receipt of eligible government benefits.</w:t>
      </w:r>
    </w:p>
    <w:p w14:paraId="068F5658" w14:textId="77777777" w:rsidR="00CA577A" w:rsidRDefault="00000000" w:rsidP="002C3DD4">
      <w:pPr>
        <w:pStyle w:val="ListBullet"/>
        <w:jc w:val="both"/>
      </w:pPr>
      <w:r>
        <w:t>Eligible account holders can access overdraft facility up to ₹10,000, subject to applicable conditions.</w:t>
      </w:r>
    </w:p>
    <w:p w14:paraId="43F0135C" w14:textId="77777777" w:rsidR="00CA577A" w:rsidRDefault="00000000" w:rsidP="002C3DD4">
      <w:pPr>
        <w:pStyle w:val="ListBullet"/>
        <w:jc w:val="both"/>
      </w:pPr>
      <w:r>
        <w:t>PMJDY accounts can be used for PMJJBY, PMSBY and APY enrolment/benefits, subject to the respective scheme eligibility.</w:t>
      </w:r>
    </w:p>
    <w:p w14:paraId="6C237C66" w14:textId="77777777" w:rsidR="00CA577A" w:rsidRDefault="00000000">
      <w:r>
        <w:rPr>
          <w:b/>
          <w:color w:val="124C81"/>
          <w:sz w:val="30"/>
        </w:rPr>
        <w:t>Important: PMJDY / BSBD Account Rule</w:t>
      </w:r>
    </w:p>
    <w:tbl>
      <w:tblPr>
        <w:tblW w:w="0" w:type="auto"/>
        <w:tblLook w:val="04A0" w:firstRow="1" w:lastRow="0" w:firstColumn="1" w:lastColumn="0" w:noHBand="0" w:noVBand="1"/>
      </w:tblPr>
      <w:tblGrid>
        <w:gridCol w:w="10656"/>
      </w:tblGrid>
      <w:tr w:rsidR="00CA577A" w14:paraId="40EA0CC8" w14:textId="77777777">
        <w:tc>
          <w:tcPr>
            <w:tcW w:w="10656" w:type="dxa"/>
            <w:shd w:val="clear" w:color="auto" w:fill="FFF7E6"/>
          </w:tcPr>
          <w:p w14:paraId="6E4DA727" w14:textId="2D4572AF" w:rsidR="00CA577A" w:rsidRPr="00BA7B26" w:rsidRDefault="00000000" w:rsidP="002C3DD4">
            <w:pPr>
              <w:pStyle w:val="ListParagraph"/>
              <w:numPr>
                <w:ilvl w:val="0"/>
                <w:numId w:val="10"/>
              </w:numPr>
              <w:ind w:left="284" w:hanging="284"/>
              <w:jc w:val="both"/>
              <w:rPr>
                <w:sz w:val="19"/>
              </w:rPr>
            </w:pPr>
            <w:r w:rsidRPr="00BA7B26">
              <w:rPr>
                <w:sz w:val="19"/>
              </w:rPr>
              <w:t>A customer holding a BSBDA/PMJDY account cannot maintain another savings bank deposit account with the same bank. An existing saving account with that bank is required to be closed within 30 days after opening the BSBDA, as per RBI's BSBDA framework.</w:t>
            </w:r>
          </w:p>
          <w:p w14:paraId="34128685" w14:textId="6D8D5146" w:rsidR="00BA7B26" w:rsidRDefault="00BA7B26" w:rsidP="002C3DD4">
            <w:pPr>
              <w:pStyle w:val="ListBullet"/>
              <w:spacing w:after="40"/>
              <w:ind w:left="317" w:hanging="317"/>
              <w:jc w:val="both"/>
            </w:pPr>
            <w:r>
              <w:t>An existing savings bank account may be converted to a PMJDY / BSBD account, subject to applicable conditions.</w:t>
            </w:r>
          </w:p>
          <w:p w14:paraId="286835F0" w14:textId="77777777" w:rsidR="00BA7B26" w:rsidRDefault="00BA7B26"/>
        </w:tc>
      </w:tr>
    </w:tbl>
    <w:p w14:paraId="6DF93144" w14:textId="41F306D8" w:rsidR="00CA577A" w:rsidRDefault="00000000">
      <w:r>
        <w:rPr>
          <w:b/>
          <w:color w:val="124C81"/>
          <w:sz w:val="34"/>
        </w:rPr>
        <w:t>Overdraft Facility – Up to ₹10,000</w:t>
      </w:r>
      <w:r w:rsidR="00BA7B26">
        <w:rPr>
          <w:b/>
          <w:color w:val="124C81"/>
          <w:sz w:val="34"/>
        </w:rPr>
        <w:t xml:space="preserve"> </w:t>
      </w:r>
    </w:p>
    <w:tbl>
      <w:tblPr>
        <w:tblW w:w="0" w:type="auto"/>
        <w:jc w:val="center"/>
        <w:tblLook w:val="04A0" w:firstRow="1" w:lastRow="0" w:firstColumn="1" w:lastColumn="0" w:noHBand="0" w:noVBand="1"/>
      </w:tblPr>
      <w:tblGrid>
        <w:gridCol w:w="5328"/>
        <w:gridCol w:w="5328"/>
      </w:tblGrid>
      <w:tr w:rsidR="00CA577A" w14:paraId="6915D374" w14:textId="77777777">
        <w:trPr>
          <w:jc w:val="center"/>
        </w:trPr>
        <w:tc>
          <w:tcPr>
            <w:tcW w:w="5328" w:type="dxa"/>
            <w:shd w:val="clear" w:color="auto" w:fill="124C81"/>
          </w:tcPr>
          <w:p w14:paraId="0BE3EB07" w14:textId="77777777" w:rsidR="00CA577A" w:rsidRDefault="00000000">
            <w:r>
              <w:rPr>
                <w:b/>
                <w:color w:val="FFFFFF"/>
              </w:rPr>
              <w:t>Parameter</w:t>
            </w:r>
          </w:p>
        </w:tc>
        <w:tc>
          <w:tcPr>
            <w:tcW w:w="5328" w:type="dxa"/>
            <w:shd w:val="clear" w:color="auto" w:fill="124C81"/>
          </w:tcPr>
          <w:p w14:paraId="41BC1F9E" w14:textId="77777777" w:rsidR="00CA577A" w:rsidRDefault="00000000">
            <w:r>
              <w:rPr>
                <w:b/>
                <w:color w:val="FFFFFF"/>
              </w:rPr>
              <w:t>Indicative condition</w:t>
            </w:r>
          </w:p>
        </w:tc>
      </w:tr>
      <w:tr w:rsidR="00CA577A" w14:paraId="0B8B5FBC" w14:textId="77777777">
        <w:trPr>
          <w:jc w:val="center"/>
        </w:trPr>
        <w:tc>
          <w:tcPr>
            <w:tcW w:w="5328" w:type="dxa"/>
            <w:shd w:val="clear" w:color="auto" w:fill="EEF5FA"/>
          </w:tcPr>
          <w:p w14:paraId="055DE7EE" w14:textId="77777777" w:rsidR="00CA577A" w:rsidRDefault="00000000">
            <w:r>
              <w:t>Account conduct</w:t>
            </w:r>
          </w:p>
        </w:tc>
        <w:tc>
          <w:tcPr>
            <w:tcW w:w="5328" w:type="dxa"/>
          </w:tcPr>
          <w:p w14:paraId="7E974051" w14:textId="77777777" w:rsidR="00CA577A" w:rsidRDefault="00000000">
            <w:r>
              <w:t>BSBD account satisfactorily operated for at least 6 months</w:t>
            </w:r>
          </w:p>
        </w:tc>
      </w:tr>
      <w:tr w:rsidR="00CA577A" w14:paraId="6235153D" w14:textId="77777777">
        <w:trPr>
          <w:jc w:val="center"/>
        </w:trPr>
        <w:tc>
          <w:tcPr>
            <w:tcW w:w="5328" w:type="dxa"/>
            <w:shd w:val="clear" w:color="auto" w:fill="EEF5FA"/>
          </w:tcPr>
          <w:p w14:paraId="7CE46FF5" w14:textId="77777777" w:rsidR="00CA577A" w:rsidRDefault="00000000">
            <w:r>
              <w:t>Age</w:t>
            </w:r>
          </w:p>
        </w:tc>
        <w:tc>
          <w:tcPr>
            <w:tcW w:w="5328" w:type="dxa"/>
          </w:tcPr>
          <w:p w14:paraId="62A800D7" w14:textId="77777777" w:rsidR="00CA577A" w:rsidRDefault="00000000">
            <w:r>
              <w:t>18–65 years for OD, subject to applicable scheme/bank terms</w:t>
            </w:r>
          </w:p>
        </w:tc>
      </w:tr>
      <w:tr w:rsidR="00CA577A" w14:paraId="6ACF6E3F" w14:textId="77777777">
        <w:trPr>
          <w:jc w:val="center"/>
        </w:trPr>
        <w:tc>
          <w:tcPr>
            <w:tcW w:w="5328" w:type="dxa"/>
            <w:shd w:val="clear" w:color="auto" w:fill="EEF5FA"/>
          </w:tcPr>
          <w:p w14:paraId="297CBCE6" w14:textId="77777777" w:rsidR="00CA577A" w:rsidRDefault="00000000">
            <w:r>
              <w:t>Family condition</w:t>
            </w:r>
          </w:p>
        </w:tc>
        <w:tc>
          <w:tcPr>
            <w:tcW w:w="5328" w:type="dxa"/>
          </w:tcPr>
          <w:p w14:paraId="31678112" w14:textId="77777777" w:rsidR="00CA577A" w:rsidRDefault="00000000">
            <w:r>
              <w:t>Only one member from a family may be granted OD</w:t>
            </w:r>
          </w:p>
        </w:tc>
      </w:tr>
      <w:tr w:rsidR="00CA577A" w14:paraId="33E44F8C" w14:textId="77777777">
        <w:trPr>
          <w:jc w:val="center"/>
        </w:trPr>
        <w:tc>
          <w:tcPr>
            <w:tcW w:w="5328" w:type="dxa"/>
            <w:shd w:val="clear" w:color="auto" w:fill="EEF5FA"/>
          </w:tcPr>
          <w:p w14:paraId="32C55781" w14:textId="77777777" w:rsidR="00CA577A" w:rsidRDefault="00000000">
            <w:r>
              <w:t>Credits</w:t>
            </w:r>
          </w:p>
        </w:tc>
        <w:tc>
          <w:tcPr>
            <w:tcW w:w="5328" w:type="dxa"/>
          </w:tcPr>
          <w:p w14:paraId="57BACA00" w14:textId="77777777" w:rsidR="00CA577A" w:rsidRDefault="00000000">
            <w:r>
              <w:t>Regular DBT/DBTL or other verified sources</w:t>
            </w:r>
          </w:p>
        </w:tc>
      </w:tr>
      <w:tr w:rsidR="00CA577A" w14:paraId="71FDC420" w14:textId="77777777">
        <w:trPr>
          <w:jc w:val="center"/>
        </w:trPr>
        <w:tc>
          <w:tcPr>
            <w:tcW w:w="5328" w:type="dxa"/>
            <w:shd w:val="clear" w:color="auto" w:fill="EEF5FA"/>
          </w:tcPr>
          <w:p w14:paraId="58CC76C3" w14:textId="77777777" w:rsidR="00CA577A" w:rsidRDefault="00000000">
            <w:r>
              <w:t>Limit</w:t>
            </w:r>
          </w:p>
        </w:tc>
        <w:tc>
          <w:tcPr>
            <w:tcW w:w="5328" w:type="dxa"/>
          </w:tcPr>
          <w:p w14:paraId="31510740" w14:textId="77777777" w:rsidR="002C3DD4" w:rsidRPr="002C3DD4" w:rsidRDefault="002C3DD4" w:rsidP="002C3DD4">
            <w:pPr>
              <w:numPr>
                <w:ilvl w:val="0"/>
                <w:numId w:val="11"/>
              </w:numPr>
              <w:spacing w:before="225" w:after="0" w:line="240" w:lineRule="auto"/>
              <w:ind w:left="0"/>
              <w:jc w:val="both"/>
              <w:textAlignment w:val="baseline"/>
              <w:rPr>
                <w:rFonts w:cs="Times New Roman"/>
                <w:szCs w:val="21"/>
              </w:rPr>
            </w:pPr>
            <w:r w:rsidRPr="002C3DD4">
              <w:rPr>
                <w:rFonts w:cs="Times New Roman"/>
                <w:szCs w:val="21"/>
              </w:rPr>
              <w:t xml:space="preserve">Minimum OD amount Rs, 2,000/- without any assessment subject to fulfilling the above eligibility criteria </w:t>
            </w:r>
            <w:proofErr w:type="gramStart"/>
            <w:r w:rsidRPr="002C3DD4">
              <w:rPr>
                <w:rFonts w:cs="Times New Roman"/>
                <w:szCs w:val="21"/>
              </w:rPr>
              <w:t>For</w:t>
            </w:r>
            <w:proofErr w:type="gramEnd"/>
            <w:r w:rsidRPr="002C3DD4">
              <w:rPr>
                <w:rFonts w:cs="Times New Roman"/>
                <w:szCs w:val="21"/>
              </w:rPr>
              <w:t xml:space="preserve"> amount beyond Rs.2000/-, eligible amount for overdraft is 4 times of average balance of preceding six months or 50% of credit summation in the preceding six months or Rs. 10,000 whichever is lower.</w:t>
            </w:r>
          </w:p>
          <w:p w14:paraId="36F50CED" w14:textId="30260CE0" w:rsidR="00CA577A" w:rsidRDefault="00CA577A"/>
        </w:tc>
      </w:tr>
    </w:tbl>
    <w:p w14:paraId="27C9FB98" w14:textId="5F9B57C1" w:rsidR="00CA577A" w:rsidRDefault="00CA577A"/>
    <w:tbl>
      <w:tblPr>
        <w:tblW w:w="0" w:type="auto"/>
        <w:jc w:val="center"/>
        <w:tblLook w:val="04A0" w:firstRow="1" w:lastRow="0" w:firstColumn="1" w:lastColumn="0" w:noHBand="0" w:noVBand="1"/>
      </w:tblPr>
      <w:tblGrid>
        <w:gridCol w:w="5328"/>
        <w:gridCol w:w="5328"/>
      </w:tblGrid>
      <w:tr w:rsidR="00CA577A" w14:paraId="3EA4F46D" w14:textId="77777777">
        <w:trPr>
          <w:jc w:val="center"/>
        </w:trPr>
        <w:tc>
          <w:tcPr>
            <w:tcW w:w="5328" w:type="dxa"/>
            <w:shd w:val="clear" w:color="auto" w:fill="124C81"/>
          </w:tcPr>
          <w:p w14:paraId="0AC5B89C" w14:textId="77777777" w:rsidR="00CA577A" w:rsidRDefault="00000000">
            <w:r>
              <w:rPr>
                <w:b/>
                <w:color w:val="FFFFFF"/>
              </w:rPr>
              <w:lastRenderedPageBreak/>
              <w:t>NEED ASSISTANCE?</w:t>
            </w:r>
            <w:r>
              <w:rPr>
                <w:b/>
                <w:color w:val="FFFFFF"/>
              </w:rPr>
              <w:br/>
            </w:r>
            <w:r>
              <w:rPr>
                <w:color w:val="FFFFFF"/>
              </w:rPr>
              <w:t>Visit your nearest Central Bank of India branch or authorised BC outlet.</w:t>
            </w:r>
            <w:r>
              <w:rPr>
                <w:color w:val="FFFFFF"/>
              </w:rPr>
              <w:br/>
              <w:t xml:space="preserve">Toll-Free: </w:t>
            </w:r>
            <w:proofErr w:type="gramStart"/>
            <w:r>
              <w:rPr>
                <w:color w:val="FFFFFF"/>
              </w:rPr>
              <w:t>18003030  |</w:t>
            </w:r>
            <w:proofErr w:type="gramEnd"/>
            <w:r>
              <w:rPr>
                <w:color w:val="FFFFFF"/>
              </w:rPr>
              <w:t xml:space="preserve">  WhatsApp: 7900123123</w:t>
            </w:r>
          </w:p>
        </w:tc>
        <w:tc>
          <w:tcPr>
            <w:tcW w:w="5328" w:type="dxa"/>
            <w:shd w:val="clear" w:color="auto" w:fill="EAF3FB"/>
          </w:tcPr>
          <w:p w14:paraId="5E47E999" w14:textId="77777777" w:rsidR="00CA577A" w:rsidRDefault="00000000">
            <w:pPr>
              <w:jc w:val="center"/>
            </w:pPr>
            <w:r>
              <w:rPr>
                <w:noProof/>
              </w:rPr>
              <w:drawing>
                <wp:inline distT="0" distB="0" distL="0" distR="0" wp14:anchorId="1F60E34E" wp14:editId="62FCF7BB">
                  <wp:extent cx="868680" cy="86868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ntral_qr.png"/>
                          <pic:cNvPicPr/>
                        </pic:nvPicPr>
                        <pic:blipFill>
                          <a:blip r:embed="rId13"/>
                          <a:stretch>
                            <a:fillRect/>
                          </a:stretch>
                        </pic:blipFill>
                        <pic:spPr>
                          <a:xfrm>
                            <a:off x="0" y="0"/>
                            <a:ext cx="868680" cy="868680"/>
                          </a:xfrm>
                          <a:prstGeom prst="rect">
                            <a:avLst/>
                          </a:prstGeom>
                        </pic:spPr>
                      </pic:pic>
                    </a:graphicData>
                  </a:graphic>
                </wp:inline>
              </w:drawing>
            </w:r>
          </w:p>
          <w:p w14:paraId="07D983E1" w14:textId="77777777" w:rsidR="00CA577A" w:rsidRDefault="00000000">
            <w:pPr>
              <w:jc w:val="center"/>
            </w:pPr>
            <w:r>
              <w:rPr>
                <w:color w:val="124C81"/>
                <w:sz w:val="16"/>
              </w:rPr>
              <w:t>Scan for Central Bank website</w:t>
            </w:r>
          </w:p>
        </w:tc>
      </w:tr>
    </w:tbl>
    <w:p w14:paraId="5941E172" w14:textId="77777777" w:rsidR="00CA577A" w:rsidRDefault="00000000">
      <w:r>
        <w:rPr>
          <w:b/>
          <w:color w:val="124C81"/>
          <w:sz w:val="34"/>
        </w:rPr>
        <w:t>Official Links</w:t>
      </w:r>
    </w:p>
    <w:p w14:paraId="4F72C92D" w14:textId="77777777" w:rsidR="00CA577A" w:rsidRDefault="00000000">
      <w:r>
        <w:t xml:space="preserve">Central Bank of India: </w:t>
      </w:r>
      <w:hyperlink r:id="rId14">
        <w:r>
          <w:rPr>
            <w:color w:val="0563C1"/>
            <w:u w:val="single"/>
          </w:rPr>
          <w:t>https://www.centralbank.bank.in/en</w:t>
        </w:r>
      </w:hyperlink>
    </w:p>
    <w:p w14:paraId="019C995F" w14:textId="77777777" w:rsidR="00CA577A" w:rsidRDefault="00000000">
      <w:r>
        <w:t xml:space="preserve">PMJDY – Department of Financial Services, Government of India: </w:t>
      </w:r>
      <w:hyperlink r:id="rId15">
        <w:r>
          <w:rPr>
            <w:color w:val="0563C1"/>
            <w:u w:val="single"/>
          </w:rPr>
          <w:t>https://www.pmjdy.gov.in/</w:t>
        </w:r>
      </w:hyperlink>
    </w:p>
    <w:p w14:paraId="6FB472B4" w14:textId="77777777" w:rsidR="00CA577A" w:rsidRDefault="00000000">
      <w:pPr>
        <w:jc w:val="center"/>
      </w:pPr>
      <w:r>
        <w:rPr>
          <w:noProof/>
        </w:rPr>
        <w:drawing>
          <wp:inline distT="0" distB="0" distL="0" distR="0" wp14:anchorId="1DB8BD51" wp14:editId="534393FB">
            <wp:extent cx="1051560" cy="1051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mjdy_qr.png"/>
                    <pic:cNvPicPr/>
                  </pic:nvPicPr>
                  <pic:blipFill>
                    <a:blip r:embed="rId16"/>
                    <a:stretch>
                      <a:fillRect/>
                    </a:stretch>
                  </pic:blipFill>
                  <pic:spPr>
                    <a:xfrm>
                      <a:off x="0" y="0"/>
                      <a:ext cx="1051560" cy="1051560"/>
                    </a:xfrm>
                    <a:prstGeom prst="rect">
                      <a:avLst/>
                    </a:prstGeom>
                  </pic:spPr>
                </pic:pic>
              </a:graphicData>
            </a:graphic>
          </wp:inline>
        </w:drawing>
      </w:r>
    </w:p>
    <w:p w14:paraId="78A14F23" w14:textId="77777777" w:rsidR="00CA577A" w:rsidRDefault="00000000">
      <w:pPr>
        <w:jc w:val="center"/>
      </w:pPr>
      <w:r>
        <w:rPr>
          <w:color w:val="124C81"/>
          <w:sz w:val="16"/>
        </w:rPr>
        <w:t>Scan to visit the official PMJDY website</w:t>
      </w:r>
    </w:p>
    <w:p w14:paraId="5F65DEBC" w14:textId="77777777" w:rsidR="00CA577A" w:rsidRDefault="00000000">
      <w:pPr>
        <w:jc w:val="center"/>
      </w:pPr>
      <w:r>
        <w:rPr>
          <w:i/>
          <w:color w:val="5A646E"/>
          <w:sz w:val="16"/>
        </w:rPr>
        <w:t>Note: Scheme benefits, KYC requirements and eligibility are subject to prevailing Government of India / RBI / Bank instructions and applicable terms.</w:t>
      </w:r>
    </w:p>
    <w:sectPr w:rsidR="00CA577A" w:rsidSect="00034616">
      <w:headerReference w:type="default" r:id="rId17"/>
      <w:footerReference w:type="default" r:id="rId18"/>
      <w:pgSz w:w="12240" w:h="15840"/>
      <w:pgMar w:top="648" w:right="792" w:bottom="648" w:left="7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A7A087" w14:textId="77777777" w:rsidR="0077348D" w:rsidRDefault="0077348D">
      <w:pPr>
        <w:spacing w:after="0" w:line="240" w:lineRule="auto"/>
      </w:pPr>
      <w:r>
        <w:separator/>
      </w:r>
    </w:p>
  </w:endnote>
  <w:endnote w:type="continuationSeparator" w:id="0">
    <w:p w14:paraId="7AE05BBD" w14:textId="77777777" w:rsidR="0077348D" w:rsidRDefault="007734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0BA70B" w14:textId="77777777" w:rsidR="00CA577A" w:rsidRDefault="00000000">
    <w:pPr>
      <w:pStyle w:val="Footer"/>
      <w:jc w:val="center"/>
    </w:pPr>
    <w:r>
      <w:rPr>
        <w:color w:val="5A646E"/>
        <w:sz w:val="16"/>
      </w:rPr>
      <w:t>Central Bank of India • PMJDY Customer Information • Website Upload Version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464E88" w14:textId="77777777" w:rsidR="0077348D" w:rsidRDefault="0077348D">
      <w:pPr>
        <w:spacing w:after="0" w:line="240" w:lineRule="auto"/>
      </w:pPr>
      <w:r>
        <w:separator/>
      </w:r>
    </w:p>
  </w:footnote>
  <w:footnote w:type="continuationSeparator" w:id="0">
    <w:p w14:paraId="1912CB4B" w14:textId="77777777" w:rsidR="0077348D" w:rsidRDefault="007734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A4333B" w14:textId="77777777" w:rsidR="00CA577A" w:rsidRDefault="00000000">
    <w:pPr>
      <w:pStyle w:val="Header"/>
      <w:jc w:val="right"/>
    </w:pPr>
    <w:r>
      <w:rPr>
        <w:b/>
        <w:color w:val="124C81"/>
        <w:sz w:val="18"/>
      </w:rPr>
      <w:t>CENTRAL BANK OF INDIA  |  FINANCIAL INCLUSION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32E54DC"/>
    <w:multiLevelType w:val="multilevel"/>
    <w:tmpl w:val="95265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774010"/>
    <w:multiLevelType w:val="hybridMultilevel"/>
    <w:tmpl w:val="B92C7C9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431968665">
    <w:abstractNumId w:val="8"/>
  </w:num>
  <w:num w:numId="2" w16cid:durableId="1965496883">
    <w:abstractNumId w:val="6"/>
  </w:num>
  <w:num w:numId="3" w16cid:durableId="142280926">
    <w:abstractNumId w:val="5"/>
  </w:num>
  <w:num w:numId="4" w16cid:durableId="798567400">
    <w:abstractNumId w:val="4"/>
  </w:num>
  <w:num w:numId="5" w16cid:durableId="1801921721">
    <w:abstractNumId w:val="7"/>
  </w:num>
  <w:num w:numId="6" w16cid:durableId="405691587">
    <w:abstractNumId w:val="3"/>
  </w:num>
  <w:num w:numId="7" w16cid:durableId="579600389">
    <w:abstractNumId w:val="2"/>
  </w:num>
  <w:num w:numId="8" w16cid:durableId="504130590">
    <w:abstractNumId w:val="1"/>
  </w:num>
  <w:num w:numId="9" w16cid:durableId="1104421128">
    <w:abstractNumId w:val="0"/>
  </w:num>
  <w:num w:numId="10" w16cid:durableId="1223952960">
    <w:abstractNumId w:val="10"/>
  </w:num>
  <w:num w:numId="11" w16cid:durableId="5670381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C3DD4"/>
    <w:rsid w:val="00326F90"/>
    <w:rsid w:val="00334B38"/>
    <w:rsid w:val="003C351D"/>
    <w:rsid w:val="0077348D"/>
    <w:rsid w:val="00AA1D8D"/>
    <w:rsid w:val="00B47730"/>
    <w:rsid w:val="00BA7B26"/>
    <w:rsid w:val="00CA577A"/>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73E46D"/>
  <w14:defaultImageDpi w14:val="300"/>
  <w15:docId w15:val="{764A0787-CA69-4AD4-B682-D556D8267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color w:val="232D37"/>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pmjdy.gov.in/"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centralbank.bank.in/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569</Words>
  <Characters>3244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CO_FI_05</cp:lastModifiedBy>
  <cp:revision>2</cp:revision>
  <dcterms:created xsi:type="dcterms:W3CDTF">2026-08-17T12:34:00Z</dcterms:created>
  <dcterms:modified xsi:type="dcterms:W3CDTF">2026-08-17T12:34:00Z</dcterms:modified>
  <cp:category/>
</cp:coreProperties>
</file>